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81" w:rsidRPr="00827FAD" w:rsidRDefault="00951681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S.09.01 -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Information on gains</w:t>
      </w:r>
      <w:r w:rsidR="00E85351"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 / income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and losses in the period</w:t>
      </w:r>
      <w:r w:rsidR="007451D5">
        <w:rPr>
          <w:rFonts w:ascii="Times New Roman" w:hAnsi="Times New Roman" w:cs="Times New Roman"/>
          <w:b/>
          <w:bCs/>
          <w:sz w:val="20"/>
          <w:szCs w:val="20"/>
        </w:rPr>
        <w:t xml:space="preserve"> (Old </w:t>
      </w:r>
      <w:r w:rsidR="007451D5" w:rsidRPr="003D01F5">
        <w:rPr>
          <w:rFonts w:ascii="Times New Roman" w:hAnsi="Times New Roman" w:cs="Times New Roman"/>
          <w:b/>
          <w:bCs/>
          <w:sz w:val="20"/>
          <w:szCs w:val="20"/>
        </w:rPr>
        <w:t>Profit and Loss</w:t>
      </w:r>
      <w:r w:rsidR="007451D5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8F2D0D" w:rsidRPr="00827FAD" w:rsidRDefault="008F2D0D" w:rsidP="008F2D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8F2D0D" w:rsidRDefault="008F2D0D" w:rsidP="008F2D0D">
      <w:pPr>
        <w:jc w:val="both"/>
        <w:rPr>
          <w:rFonts w:ascii="Times New Roman" w:hAnsi="Times New Roman" w:cs="Times New Roman"/>
          <w:sz w:val="20"/>
          <w:szCs w:val="20"/>
        </w:rPr>
      </w:pPr>
      <w:r w:rsidRPr="00827FA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8337B" w:rsidRDefault="0068337B" w:rsidP="0068337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2B14F7" w:rsidRPr="00827FAD" w:rsidRDefault="005652FC" w:rsidP="008A3DB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Cs/>
          <w:sz w:val="20"/>
          <w:szCs w:val="20"/>
        </w:rPr>
        <w:t>This templat</w:t>
      </w:r>
      <w:r w:rsidR="008A3DB7">
        <w:rPr>
          <w:rFonts w:ascii="Times New Roman" w:hAnsi="Times New Roman" w:cs="Times New Roman"/>
          <w:bCs/>
          <w:sz w:val="20"/>
          <w:szCs w:val="20"/>
        </w:rPr>
        <w:t>e contains information on gains/</w:t>
      </w:r>
      <w:r w:rsidR="008F2D0D" w:rsidRPr="00827FAD">
        <w:rPr>
          <w:rFonts w:ascii="Times New Roman" w:hAnsi="Times New Roman" w:cs="Times New Roman"/>
          <w:bCs/>
          <w:sz w:val="20"/>
          <w:szCs w:val="20"/>
        </w:rPr>
        <w:t xml:space="preserve">income </w:t>
      </w:r>
      <w:r w:rsidRPr="00827FAD">
        <w:rPr>
          <w:rFonts w:ascii="Times New Roman" w:hAnsi="Times New Roman" w:cs="Times New Roman"/>
          <w:bCs/>
          <w:sz w:val="20"/>
          <w:szCs w:val="20"/>
        </w:rPr>
        <w:t>and losses by asset category</w:t>
      </w:r>
      <w:r w:rsidR="002D0686">
        <w:rPr>
          <w:rFonts w:ascii="Times New Roman" w:hAnsi="Times New Roman" w:cs="Times New Roman"/>
          <w:bCs/>
          <w:sz w:val="20"/>
          <w:szCs w:val="20"/>
        </w:rPr>
        <w:t xml:space="preserve"> (including derivatives)</w:t>
      </w:r>
      <w:r w:rsidRPr="00827FAD">
        <w:rPr>
          <w:rFonts w:ascii="Times New Roman" w:hAnsi="Times New Roman" w:cs="Times New Roman"/>
          <w:bCs/>
          <w:sz w:val="20"/>
          <w:szCs w:val="20"/>
        </w:rPr>
        <w:t xml:space="preserve">. i.e., no item-by-item </w:t>
      </w:r>
      <w:r w:rsidRPr="009A3BA7">
        <w:rPr>
          <w:rFonts w:ascii="Times New Roman" w:hAnsi="Times New Roman" w:cs="Times New Roman"/>
          <w:bCs/>
          <w:sz w:val="20"/>
          <w:szCs w:val="20"/>
        </w:rPr>
        <w:t xml:space="preserve">reporting is required. </w:t>
      </w:r>
      <w:r w:rsidR="00C25C8F" w:rsidRPr="009A3BA7">
        <w:rPr>
          <w:rFonts w:ascii="Times New Roman" w:hAnsi="Times New Roman" w:cs="Times New Roman"/>
          <w:bCs/>
          <w:sz w:val="20"/>
          <w:szCs w:val="20"/>
        </w:rPr>
        <w:t xml:space="preserve">The asset categories considered in this template are the ones defined in Annex </w:t>
      </w:r>
      <w:r w:rsidR="009A3BA7" w:rsidRPr="008A3DB7">
        <w:rPr>
          <w:rFonts w:ascii="Times New Roman" w:hAnsi="Times New Roman" w:cs="Times New Roman"/>
          <w:bCs/>
          <w:sz w:val="20"/>
          <w:szCs w:val="20"/>
        </w:rPr>
        <w:t>III</w:t>
      </w:r>
      <w:r w:rsidR="002B14F7" w:rsidRPr="009A3BA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25C8F" w:rsidRPr="009A3BA7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9A3BA7" w:rsidRPr="008A3DB7">
        <w:rPr>
          <w:rFonts w:ascii="Times New Roman" w:hAnsi="Times New Roman" w:cs="Times New Roman"/>
          <w:bCs/>
          <w:sz w:val="20"/>
          <w:szCs w:val="20"/>
        </w:rPr>
        <w:t>Assets</w:t>
      </w:r>
      <w:r w:rsidR="00C25C8F" w:rsidRPr="009A3BA7">
        <w:rPr>
          <w:rFonts w:ascii="Times New Roman" w:hAnsi="Times New Roman" w:cs="Times New Roman"/>
          <w:bCs/>
          <w:sz w:val="20"/>
          <w:szCs w:val="20"/>
        </w:rPr>
        <w:t xml:space="preserve"> Categories.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2200"/>
        <w:gridCol w:w="5948"/>
      </w:tblGrid>
      <w:tr w:rsidR="00FB5948" w:rsidRPr="00827FAD" w:rsidTr="00F971C2">
        <w:trPr>
          <w:trHeight w:val="285"/>
        </w:trPr>
        <w:tc>
          <w:tcPr>
            <w:tcW w:w="1094" w:type="dxa"/>
            <w:noWrap/>
            <w:hideMark/>
          </w:tcPr>
          <w:p w:rsidR="00FB5948" w:rsidRPr="008A3DB7" w:rsidRDefault="00FB5948" w:rsidP="0095168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hideMark/>
          </w:tcPr>
          <w:p w:rsidR="00FB5948" w:rsidRPr="00827FAD" w:rsidRDefault="00FB5948" w:rsidP="009516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948" w:type="dxa"/>
            <w:hideMark/>
          </w:tcPr>
          <w:p w:rsidR="00FB5948" w:rsidRPr="00827FAD" w:rsidRDefault="00FB5948" w:rsidP="008A3D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F216FC" w:rsidRPr="00827FAD" w:rsidTr="00F971C2">
        <w:trPr>
          <w:trHeight w:val="690"/>
        </w:trPr>
        <w:tc>
          <w:tcPr>
            <w:tcW w:w="1094" w:type="dxa"/>
            <w:hideMark/>
          </w:tcPr>
          <w:p w:rsidR="008F2D0D" w:rsidRPr="008A3DB7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B5948" w:rsidRPr="00827FAD" w:rsidRDefault="008F2D0D" w:rsidP="008A3DB7">
            <w:pPr>
              <w:pStyle w:val="NoSpacing"/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Asset category</w:t>
            </w:r>
          </w:p>
        </w:tc>
        <w:tc>
          <w:tcPr>
            <w:tcW w:w="5948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345C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categories present in the portfolio and / or ring-fenced fund.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Use the categories 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 xml:space="preserve">defined in 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216FC" w:rsidRPr="00827FAD" w:rsidTr="00F971C2">
        <w:trPr>
          <w:trHeight w:val="3135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</w:p>
        </w:tc>
        <w:tc>
          <w:tcPr>
            <w:tcW w:w="5948" w:type="dxa"/>
            <w:hideMark/>
          </w:tcPr>
          <w:p w:rsidR="00AC5DF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Distinction between life, non-life, s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hare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holder's funds, general (no split) and ring fenced funds.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t>1 - Life</w:t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Non-life 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3 - Ring fenced funds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4 - Other internal funds  </w:t>
            </w:r>
          </w:p>
          <w:p w:rsidR="00FB5948" w:rsidRPr="00827FAD" w:rsidRDefault="00AC5DF1" w:rsidP="003F6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5 - Shareholders' funds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6 - General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The split in not mandatory, except for identifying ring fenced funds, but </w:t>
            </w:r>
            <w:r w:rsidR="008A7AB8" w:rsidRPr="00827FAD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be reported if the undertaking uses it internally. When an undertaking does not apply a split “general” must be used. </w:t>
            </w:r>
          </w:p>
        </w:tc>
      </w:tr>
      <w:tr w:rsidR="00F216FC" w:rsidRPr="00827FAD" w:rsidTr="00F971C2">
        <w:trPr>
          <w:trHeight w:val="1140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200" w:type="dxa"/>
            <w:hideMark/>
          </w:tcPr>
          <w:p w:rsidR="00FB5948" w:rsidRPr="00827FAD" w:rsidRDefault="00FB5948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held in unit linked and index linked 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5948" w:type="dxa"/>
            <w:hideMark/>
          </w:tcPr>
          <w:p w:rsidR="00EC040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that are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>held by unit linked and index linked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contracts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Unit-linked or index-linked</w:t>
            </w:r>
          </w:p>
          <w:p w:rsidR="00FB5948" w:rsidRPr="00827FAD" w:rsidRDefault="00AC5DF1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2 - 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Neither unit-linked nor index-linked</w:t>
            </w:r>
          </w:p>
        </w:tc>
      </w:tr>
      <w:tr w:rsidR="00F216FC" w:rsidRPr="00827FAD" w:rsidTr="00F971C2">
        <w:trPr>
          <w:trHeight w:val="855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(A6)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Dividends</w:t>
            </w:r>
          </w:p>
        </w:tc>
        <w:tc>
          <w:tcPr>
            <w:tcW w:w="5948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Amount of dividends received and accrued at the end of the reporting period. Applicable to dividend paying assets such as equity, preferred securities and investment funds.</w:t>
            </w:r>
          </w:p>
        </w:tc>
      </w:tr>
      <w:tr w:rsidR="00F216FC" w:rsidRPr="00827FAD" w:rsidTr="00F971C2">
        <w:trPr>
          <w:trHeight w:val="1515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</w:p>
        </w:tc>
        <w:tc>
          <w:tcPr>
            <w:tcW w:w="5948" w:type="dxa"/>
            <w:hideMark/>
          </w:tcPr>
          <w:p w:rsidR="00B778B5" w:rsidRPr="00827FAD" w:rsidRDefault="00FB5948" w:rsidP="004C6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Amount of interest received and accrued at the end of the reporting period.</w:t>
            </w:r>
          </w:p>
          <w:p w:rsidR="00FB5948" w:rsidRPr="00827FAD" w:rsidRDefault="00CF6D36" w:rsidP="00F64D0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Includes also i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>nterest received when the asset is sold or matured</w:t>
            </w:r>
            <w:r w:rsidR="00F64D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Applicable to coupon and interest paying assets such as bonds, loans and deposits. </w:t>
            </w:r>
          </w:p>
        </w:tc>
      </w:tr>
      <w:tr w:rsidR="00F216FC" w:rsidRPr="00827FAD" w:rsidTr="00F971C2">
        <w:trPr>
          <w:trHeight w:val="660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Rent</w:t>
            </w:r>
          </w:p>
        </w:tc>
        <w:tc>
          <w:tcPr>
            <w:tcW w:w="5948" w:type="dxa"/>
            <w:hideMark/>
          </w:tcPr>
          <w:p w:rsidR="00FB5948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Amount of rent received and accrued at the end of the reporting period.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Only a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pplicable to properties</w:t>
            </w:r>
            <w:r w:rsidR="00802A9F" w:rsidRPr="00827FAD">
              <w:rPr>
                <w:rFonts w:ascii="Times New Roman" w:hAnsi="Times New Roman" w:cs="Times New Roman"/>
                <w:sz w:val="20"/>
                <w:szCs w:val="20"/>
              </w:rPr>
              <w:t>, regardless of the function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D1B00" w:rsidRPr="00827FAD" w:rsidRDefault="00ED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Includes also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rents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received when the asset is sold or matured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216FC" w:rsidRPr="00827FAD" w:rsidTr="00F971C2">
        <w:trPr>
          <w:trHeight w:val="1657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(A15)</w:t>
            </w:r>
          </w:p>
        </w:tc>
        <w:tc>
          <w:tcPr>
            <w:tcW w:w="2200" w:type="dxa"/>
            <w:hideMark/>
          </w:tcPr>
          <w:p w:rsidR="00FB5948" w:rsidRPr="00827FAD" w:rsidRDefault="001D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>et gains and losses</w:t>
            </w:r>
          </w:p>
        </w:tc>
        <w:tc>
          <w:tcPr>
            <w:tcW w:w="5948" w:type="dxa"/>
            <w:hideMark/>
          </w:tcPr>
          <w:p w:rsidR="00FB5948" w:rsidRPr="00827FAD" w:rsidRDefault="001D0A35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et gains and losses resulting from assets sold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matured during the reporting period.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The gains and losses are calculated as the difference between selling or maturity value and</w:t>
            </w:r>
            <w:r w:rsidR="00174A1D" w:rsidRPr="008A3DB7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value according to article 75 of Directive 2009/138/EC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at the end of the prior </w:t>
            </w:r>
            <w:r w:rsidR="00274A37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reporting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year end (or, in case of </w:t>
            </w:r>
            <w:r w:rsidR="00C25C8F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acquired during the reporting period, the acquisition value). </w:t>
            </w:r>
          </w:p>
        </w:tc>
      </w:tr>
      <w:tr w:rsidR="002D5DCF" w:rsidRPr="002D5DCF" w:rsidTr="00F971C2">
        <w:trPr>
          <w:trHeight w:val="1657"/>
        </w:trPr>
        <w:tc>
          <w:tcPr>
            <w:tcW w:w="1094" w:type="dxa"/>
            <w:hideMark/>
          </w:tcPr>
          <w:p w:rsidR="00F971C2" w:rsidRPr="002D5DCF" w:rsidRDefault="00F971C2" w:rsidP="00470B0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C0110</w:t>
            </w:r>
          </w:p>
        </w:tc>
        <w:tc>
          <w:tcPr>
            <w:tcW w:w="2200" w:type="dxa"/>
            <w:hideMark/>
          </w:tcPr>
          <w:p w:rsidR="00F971C2" w:rsidRPr="002D5DCF" w:rsidRDefault="00F971C2" w:rsidP="00470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Unrealised gains and losses</w:t>
            </w:r>
          </w:p>
        </w:tc>
        <w:tc>
          <w:tcPr>
            <w:tcW w:w="5948" w:type="dxa"/>
            <w:hideMark/>
          </w:tcPr>
          <w:p w:rsidR="002D5DCF" w:rsidRDefault="00F971C2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Unrealised gains and losses resulting from assets not sold </w:t>
            </w:r>
            <w:r w:rsidR="00276F5F" w:rsidRPr="002D5D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or matured during the reporting period.</w:t>
            </w:r>
          </w:p>
          <w:p w:rsidR="00F971C2" w:rsidRPr="002D5DCF" w:rsidRDefault="00F971C2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The unrealised gains and losses are calculated as the difference between the value according to article 75 of Directive 2009/138/EC at the end of the reporting </w:t>
            </w:r>
            <w:r w:rsidR="00DE77D7"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year 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end and the value according to article 75 of Directive 2009/138/EC at the end of the prior reporting year end (or, in case of assets acquired during the reporting period, the acquisition value). </w:t>
            </w:r>
          </w:p>
        </w:tc>
      </w:tr>
    </w:tbl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sectPr w:rsidR="009025BF" w:rsidRPr="00827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48"/>
    <w:rsid w:val="00072A8B"/>
    <w:rsid w:val="000A37FF"/>
    <w:rsid w:val="000D3AB9"/>
    <w:rsid w:val="00105DB1"/>
    <w:rsid w:val="00174A1D"/>
    <w:rsid w:val="001858E0"/>
    <w:rsid w:val="001A7774"/>
    <w:rsid w:val="001C7FF3"/>
    <w:rsid w:val="001D0A35"/>
    <w:rsid w:val="00206B34"/>
    <w:rsid w:val="00267E67"/>
    <w:rsid w:val="00274A37"/>
    <w:rsid w:val="00276F5F"/>
    <w:rsid w:val="002B14F7"/>
    <w:rsid w:val="002D0686"/>
    <w:rsid w:val="002D5DCF"/>
    <w:rsid w:val="002F009D"/>
    <w:rsid w:val="00345C36"/>
    <w:rsid w:val="003F6F81"/>
    <w:rsid w:val="00463DF9"/>
    <w:rsid w:val="004973FF"/>
    <w:rsid w:val="004C669B"/>
    <w:rsid w:val="00507ACA"/>
    <w:rsid w:val="0053495E"/>
    <w:rsid w:val="005652FC"/>
    <w:rsid w:val="00655C14"/>
    <w:rsid w:val="00656EC0"/>
    <w:rsid w:val="00662EF4"/>
    <w:rsid w:val="0068337B"/>
    <w:rsid w:val="006D5C8D"/>
    <w:rsid w:val="006F5D1D"/>
    <w:rsid w:val="007451D5"/>
    <w:rsid w:val="00762C0F"/>
    <w:rsid w:val="007F32B8"/>
    <w:rsid w:val="00802A9F"/>
    <w:rsid w:val="00827FAD"/>
    <w:rsid w:val="00850342"/>
    <w:rsid w:val="008A3DB7"/>
    <w:rsid w:val="008A7AB8"/>
    <w:rsid w:val="008C0140"/>
    <w:rsid w:val="008D6E47"/>
    <w:rsid w:val="008F2D0D"/>
    <w:rsid w:val="009025BF"/>
    <w:rsid w:val="009350D6"/>
    <w:rsid w:val="00951681"/>
    <w:rsid w:val="00984C9F"/>
    <w:rsid w:val="009951A2"/>
    <w:rsid w:val="009A3BA7"/>
    <w:rsid w:val="00A16F09"/>
    <w:rsid w:val="00A71169"/>
    <w:rsid w:val="00A87DD0"/>
    <w:rsid w:val="00AC5DF1"/>
    <w:rsid w:val="00AF1DE0"/>
    <w:rsid w:val="00B60E72"/>
    <w:rsid w:val="00B778B5"/>
    <w:rsid w:val="00BB7862"/>
    <w:rsid w:val="00C21A3D"/>
    <w:rsid w:val="00C25C8F"/>
    <w:rsid w:val="00CF6D36"/>
    <w:rsid w:val="00DE77D7"/>
    <w:rsid w:val="00E1538D"/>
    <w:rsid w:val="00E301FE"/>
    <w:rsid w:val="00E85351"/>
    <w:rsid w:val="00EC0401"/>
    <w:rsid w:val="00ED1B00"/>
    <w:rsid w:val="00F216FC"/>
    <w:rsid w:val="00F40180"/>
    <w:rsid w:val="00F500A2"/>
    <w:rsid w:val="00F64D0A"/>
    <w:rsid w:val="00F91832"/>
    <w:rsid w:val="00F971C2"/>
    <w:rsid w:val="00FB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D74A5FC5-867D-4A2A-9E6F-F8C5D23EB5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7</cp:revision>
  <cp:lastPrinted>2014-10-27T18:04:00Z</cp:lastPrinted>
  <dcterms:created xsi:type="dcterms:W3CDTF">2014-11-07T20:14:00Z</dcterms:created>
  <dcterms:modified xsi:type="dcterms:W3CDTF">2014-12-01T14:13:00Z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